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1A" w:rsidRPr="008D57A2" w:rsidRDefault="008B26FF" w:rsidP="008D57A2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D57A2">
        <w:rPr>
          <w:rFonts w:asciiTheme="minorEastAsia" w:hAnsiTheme="minorEastAsia" w:hint="eastAsia"/>
          <w:b/>
          <w:sz w:val="36"/>
          <w:szCs w:val="36"/>
        </w:rPr>
        <w:t>安徽冶金科技职业学院</w:t>
      </w:r>
      <w:r w:rsidR="0014201A" w:rsidRPr="008D57A2"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F85E94" w:rsidRPr="008D57A2" w:rsidRDefault="008B26FF" w:rsidP="008D57A2">
      <w:pPr>
        <w:ind w:firstLineChars="550" w:firstLine="1988"/>
        <w:rPr>
          <w:rFonts w:asciiTheme="minorEastAsia" w:hAnsiTheme="minorEastAsia"/>
          <w:b/>
          <w:sz w:val="36"/>
          <w:szCs w:val="36"/>
        </w:rPr>
      </w:pPr>
      <w:r w:rsidRPr="008D57A2">
        <w:rPr>
          <w:rFonts w:asciiTheme="minorEastAsia" w:hAnsiTheme="minorEastAsia" w:hint="eastAsia"/>
          <w:b/>
          <w:sz w:val="36"/>
          <w:szCs w:val="36"/>
        </w:rPr>
        <w:t>学生会</w:t>
      </w:r>
      <w:r w:rsidR="0014201A" w:rsidRPr="008D57A2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8D57A2">
        <w:rPr>
          <w:rFonts w:asciiTheme="minorEastAsia" w:hAnsiTheme="minorEastAsia" w:hint="eastAsia"/>
          <w:b/>
          <w:sz w:val="36"/>
          <w:szCs w:val="36"/>
        </w:rPr>
        <w:t>部门负责人</w:t>
      </w:r>
      <w:r w:rsidR="00F85E94" w:rsidRPr="008D57A2">
        <w:rPr>
          <w:rFonts w:asciiTheme="minorEastAsia" w:hAnsiTheme="minorEastAsia" w:hint="eastAsia"/>
          <w:b/>
          <w:sz w:val="36"/>
          <w:szCs w:val="36"/>
        </w:rPr>
        <w:t>考评办</w:t>
      </w:r>
      <w:r w:rsidR="00EF29CD" w:rsidRPr="008D57A2">
        <w:rPr>
          <w:rFonts w:asciiTheme="minorEastAsia" w:hAnsiTheme="minorEastAsia" w:hint="eastAsia"/>
          <w:b/>
          <w:sz w:val="36"/>
          <w:szCs w:val="36"/>
        </w:rPr>
        <w:t>法</w:t>
      </w:r>
    </w:p>
    <w:p w:rsidR="00EF29CD" w:rsidRDefault="00EF29CD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为充分调动</w:t>
      </w:r>
      <w:r w:rsidR="008B26FF" w:rsidRPr="00EF29CD">
        <w:rPr>
          <w:rFonts w:asciiTheme="minorEastAsia" w:hAnsiTheme="minorEastAsia" w:hint="eastAsia"/>
          <w:sz w:val="28"/>
          <w:szCs w:val="28"/>
        </w:rPr>
        <w:t>学生会各部门负责</w:t>
      </w:r>
      <w:r w:rsidRPr="00EF29CD">
        <w:rPr>
          <w:rFonts w:asciiTheme="minorEastAsia" w:hAnsiTheme="minorEastAsia" w:hint="eastAsia"/>
          <w:sz w:val="28"/>
          <w:szCs w:val="28"/>
        </w:rPr>
        <w:t>人员的工作积极性、主动性和创造性，确保</w:t>
      </w:r>
      <w:r w:rsidR="008B26FF" w:rsidRPr="00EF29CD">
        <w:rPr>
          <w:rFonts w:asciiTheme="minorEastAsia" w:hAnsiTheme="minorEastAsia" w:hint="eastAsia"/>
          <w:sz w:val="28"/>
          <w:szCs w:val="28"/>
        </w:rPr>
        <w:t>学院学生会</w:t>
      </w:r>
      <w:r w:rsidRPr="00EF29CD">
        <w:rPr>
          <w:rFonts w:asciiTheme="minorEastAsia" w:hAnsiTheme="minorEastAsia" w:hint="eastAsia"/>
          <w:sz w:val="28"/>
          <w:szCs w:val="28"/>
        </w:rPr>
        <w:t>各项工作的完成和发展目标的实现，根据</w:t>
      </w:r>
      <w:r w:rsidR="008B26FF" w:rsidRPr="00EF29CD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相关规定和要求，结合</w:t>
      </w:r>
      <w:r w:rsidR="008B26FF" w:rsidRPr="00EF29CD">
        <w:rPr>
          <w:rFonts w:asciiTheme="minorEastAsia" w:hAnsiTheme="minorEastAsia" w:hint="eastAsia"/>
          <w:sz w:val="28"/>
          <w:szCs w:val="28"/>
        </w:rPr>
        <w:t>学院</w:t>
      </w:r>
      <w:r w:rsidRPr="00EF29CD">
        <w:rPr>
          <w:rFonts w:asciiTheme="minorEastAsia" w:hAnsiTheme="minorEastAsia" w:hint="eastAsia"/>
          <w:sz w:val="28"/>
          <w:szCs w:val="28"/>
        </w:rPr>
        <w:t>实际，</w:t>
      </w:r>
      <w:r w:rsidR="008B26FF" w:rsidRPr="00EF29CD">
        <w:rPr>
          <w:rFonts w:asciiTheme="minorEastAsia" w:hAnsiTheme="minorEastAsia" w:hint="eastAsia"/>
          <w:sz w:val="28"/>
          <w:szCs w:val="28"/>
        </w:rPr>
        <w:t>现制定</w:t>
      </w:r>
      <w:r w:rsidRPr="00EF29CD">
        <w:rPr>
          <w:rFonts w:asciiTheme="minorEastAsia" w:hAnsiTheme="minorEastAsia" w:hint="eastAsia"/>
          <w:sz w:val="28"/>
          <w:szCs w:val="28"/>
        </w:rPr>
        <w:t>《</w:t>
      </w:r>
      <w:r w:rsidR="008B26FF" w:rsidRPr="00EF29CD">
        <w:rPr>
          <w:rFonts w:asciiTheme="minorEastAsia" w:hAnsiTheme="minorEastAsia" w:hint="eastAsia"/>
          <w:sz w:val="28"/>
          <w:szCs w:val="28"/>
        </w:rPr>
        <w:t>安徽冶金科技职业学院学生会部门负责人考评办法</w:t>
      </w:r>
      <w:r w:rsidRPr="00EF29CD">
        <w:rPr>
          <w:rFonts w:asciiTheme="minorEastAsia" w:hAnsiTheme="minorEastAsia" w:hint="eastAsia"/>
          <w:sz w:val="28"/>
          <w:szCs w:val="28"/>
        </w:rPr>
        <w:t>》如下：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一、考评原则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 公开、公平、公正；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（二） 多层次、多渠道、多方位；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（三） 考评结果</w:t>
      </w:r>
      <w:r w:rsidR="008B26FF" w:rsidRPr="00EF29CD">
        <w:rPr>
          <w:rFonts w:asciiTheme="minorEastAsia" w:hAnsiTheme="minorEastAsia" w:hint="eastAsia"/>
          <w:sz w:val="28"/>
          <w:szCs w:val="28"/>
        </w:rPr>
        <w:t>聘任、</w:t>
      </w:r>
      <w:r w:rsidRPr="00EF29CD">
        <w:rPr>
          <w:rFonts w:asciiTheme="minorEastAsia" w:hAnsiTheme="minorEastAsia" w:hint="eastAsia"/>
          <w:sz w:val="28"/>
          <w:szCs w:val="28"/>
        </w:rPr>
        <w:t>使用相结合；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（四） 持续改进、不断完善。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二、考评对象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考评对象为</w:t>
      </w:r>
      <w:r w:rsidR="008B26FF" w:rsidRPr="00EF29CD">
        <w:rPr>
          <w:rFonts w:asciiTheme="minorEastAsia" w:hAnsiTheme="minorEastAsia" w:hint="eastAsia"/>
          <w:sz w:val="28"/>
          <w:szCs w:val="28"/>
        </w:rPr>
        <w:t>学院学生会各部门负责人</w:t>
      </w:r>
      <w:r w:rsidRPr="00EF29CD">
        <w:rPr>
          <w:rFonts w:asciiTheme="minorEastAsia" w:hAnsiTheme="minorEastAsia" w:hint="eastAsia"/>
          <w:sz w:val="28"/>
          <w:szCs w:val="28"/>
        </w:rPr>
        <w:t>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三、考评内容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主要包括“德”、“能”、“勤”、“绩”等。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（一）“德”：思想政治表现。主要指政策理论水平，组织观</w:t>
      </w:r>
      <w:r w:rsidR="008B26FF" w:rsidRPr="00EF29CD">
        <w:rPr>
          <w:rFonts w:asciiTheme="minorEastAsia" w:hAnsiTheme="minorEastAsia" w:hint="eastAsia"/>
          <w:sz w:val="28"/>
          <w:szCs w:val="28"/>
        </w:rPr>
        <w:t>念，思想品德，实事求是，联系同学</w:t>
      </w:r>
      <w:r w:rsidRPr="00EF29CD">
        <w:rPr>
          <w:rFonts w:asciiTheme="minorEastAsia" w:hAnsiTheme="minorEastAsia" w:hint="eastAsia"/>
          <w:sz w:val="28"/>
          <w:szCs w:val="28"/>
        </w:rPr>
        <w:t>，团结协助。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（二）“能”：工作能力。主要指组织管理能力、开拓创新能力、执行能力、业务知识水平、分析解决问题能力等。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（三）“勤”：工作表现。主要指事业心、责任感、工作作风、勤奋程度、工作纪律、服务态度、敬业精神等。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lastRenderedPageBreak/>
        <w:t>（四）“绩”：工作实绩。主要指履行岗位工作职责、工作思路、工作落实及本部门工作完成情况等。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（五）否决事项：对在</w:t>
      </w:r>
      <w:r w:rsidR="00EF29CD" w:rsidRPr="00EF29CD">
        <w:rPr>
          <w:rFonts w:asciiTheme="minorEastAsia" w:hAnsiTheme="minorEastAsia" w:hint="eastAsia"/>
          <w:sz w:val="28"/>
          <w:szCs w:val="28"/>
        </w:rPr>
        <w:t>校风、学风建设、校纪校规、</w:t>
      </w:r>
      <w:r w:rsidR="002023AD">
        <w:rPr>
          <w:rFonts w:asciiTheme="minorEastAsia" w:hAnsiTheme="minorEastAsia" w:hint="eastAsia"/>
          <w:sz w:val="28"/>
          <w:szCs w:val="28"/>
        </w:rPr>
        <w:t>工作态度</w:t>
      </w:r>
      <w:r w:rsidRPr="00EF29CD">
        <w:rPr>
          <w:rFonts w:asciiTheme="minorEastAsia" w:hAnsiTheme="minorEastAsia" w:hint="eastAsia"/>
          <w:sz w:val="28"/>
          <w:szCs w:val="28"/>
        </w:rPr>
        <w:t>等</w:t>
      </w:r>
      <w:r w:rsidR="002023AD">
        <w:rPr>
          <w:rFonts w:asciiTheme="minorEastAsia" w:hAnsiTheme="minorEastAsia" w:hint="eastAsia"/>
          <w:sz w:val="28"/>
          <w:szCs w:val="28"/>
        </w:rPr>
        <w:t>学习和</w:t>
      </w:r>
      <w:r w:rsidRPr="00EF29CD">
        <w:rPr>
          <w:rFonts w:asciiTheme="minorEastAsia" w:hAnsiTheme="minorEastAsia" w:hint="eastAsia"/>
          <w:sz w:val="28"/>
          <w:szCs w:val="28"/>
        </w:rPr>
        <w:t>工作中被“一票否决”的，当年考核即为差。</w:t>
      </w:r>
    </w:p>
    <w:p w:rsidR="00F85E94" w:rsidRPr="00EF29CD" w:rsidRDefault="00F85E94" w:rsidP="00EF29CD">
      <w:pPr>
        <w:ind w:firstLineChars="295" w:firstLine="82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四、考评方法和周期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（一）考评方法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考评主要依据被考评人员现实表现，参考本部门工作完成情况，以测评的方式进行。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根据“德”、“能”、“勤”、“绩”四方面测评内容，制定测评标准，进行多维度测评。主要通过上级测评、同级测评、</w:t>
      </w:r>
      <w:r w:rsidR="002023AD">
        <w:rPr>
          <w:rFonts w:asciiTheme="minorEastAsia" w:hAnsiTheme="minorEastAsia" w:hint="eastAsia"/>
          <w:sz w:val="28"/>
          <w:szCs w:val="28"/>
        </w:rPr>
        <w:t>学生</w:t>
      </w:r>
      <w:r w:rsidRPr="00EF29CD">
        <w:rPr>
          <w:rFonts w:asciiTheme="minorEastAsia" w:hAnsiTheme="minorEastAsia" w:hint="eastAsia"/>
          <w:sz w:val="28"/>
          <w:szCs w:val="28"/>
        </w:rPr>
        <w:t>代表和部门</w:t>
      </w:r>
      <w:r w:rsidR="002023AD">
        <w:rPr>
          <w:rFonts w:asciiTheme="minorEastAsia" w:hAnsiTheme="minorEastAsia" w:hint="eastAsia"/>
          <w:sz w:val="28"/>
          <w:szCs w:val="28"/>
        </w:rPr>
        <w:t>干事</w:t>
      </w:r>
      <w:r w:rsidRPr="00EF29CD">
        <w:rPr>
          <w:rFonts w:asciiTheme="minorEastAsia" w:hAnsiTheme="minorEastAsia" w:hint="eastAsia"/>
          <w:sz w:val="28"/>
          <w:szCs w:val="28"/>
        </w:rPr>
        <w:t>测评的方式进行。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1、上级测评：</w:t>
      </w:r>
      <w:r w:rsidR="002023AD">
        <w:rPr>
          <w:rFonts w:asciiTheme="minorEastAsia" w:hAnsiTheme="minorEastAsia" w:hint="eastAsia"/>
          <w:sz w:val="28"/>
          <w:szCs w:val="28"/>
        </w:rPr>
        <w:t>学院团委副书记</w:t>
      </w:r>
      <w:r w:rsidRPr="00EF29CD">
        <w:rPr>
          <w:rFonts w:asciiTheme="minorEastAsia" w:hAnsiTheme="minorEastAsia" w:hint="eastAsia"/>
          <w:sz w:val="28"/>
          <w:szCs w:val="28"/>
        </w:rPr>
        <w:t>对被考评人员进行测评。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2、同级测评：</w:t>
      </w:r>
      <w:r w:rsidR="002023AD">
        <w:rPr>
          <w:rFonts w:asciiTheme="minorEastAsia" w:hAnsiTheme="minorEastAsia" w:hint="eastAsia"/>
          <w:sz w:val="28"/>
          <w:szCs w:val="28"/>
        </w:rPr>
        <w:t>部门负责</w:t>
      </w:r>
      <w:r w:rsidRPr="00EF29CD">
        <w:rPr>
          <w:rFonts w:asciiTheme="minorEastAsia" w:hAnsiTheme="minorEastAsia" w:hint="eastAsia"/>
          <w:sz w:val="28"/>
          <w:szCs w:val="28"/>
        </w:rPr>
        <w:t>人员进行互评。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3、</w:t>
      </w:r>
      <w:r w:rsidR="002023AD">
        <w:rPr>
          <w:rFonts w:asciiTheme="minorEastAsia" w:hAnsiTheme="minorEastAsia" w:hint="eastAsia"/>
          <w:sz w:val="28"/>
          <w:szCs w:val="28"/>
        </w:rPr>
        <w:t>学生</w:t>
      </w:r>
      <w:r w:rsidRPr="00EF29CD">
        <w:rPr>
          <w:rFonts w:asciiTheme="minorEastAsia" w:hAnsiTheme="minorEastAsia" w:hint="eastAsia"/>
          <w:sz w:val="28"/>
          <w:szCs w:val="28"/>
        </w:rPr>
        <w:t>代表和部门</w:t>
      </w:r>
      <w:r w:rsidR="002023AD">
        <w:rPr>
          <w:rFonts w:asciiTheme="minorEastAsia" w:hAnsiTheme="minorEastAsia" w:hint="eastAsia"/>
          <w:sz w:val="28"/>
          <w:szCs w:val="28"/>
        </w:rPr>
        <w:t>干事</w:t>
      </w:r>
      <w:r w:rsidRPr="00EF29CD">
        <w:rPr>
          <w:rFonts w:asciiTheme="minorEastAsia" w:hAnsiTheme="minorEastAsia" w:hint="eastAsia"/>
          <w:sz w:val="28"/>
          <w:szCs w:val="28"/>
        </w:rPr>
        <w:t>测评：</w:t>
      </w:r>
      <w:r w:rsidR="002023AD">
        <w:rPr>
          <w:rFonts w:asciiTheme="minorEastAsia" w:hAnsiTheme="minorEastAsia" w:hint="eastAsia"/>
          <w:sz w:val="28"/>
          <w:szCs w:val="28"/>
        </w:rPr>
        <w:t>学生</w:t>
      </w:r>
      <w:r w:rsidRPr="00EF29CD">
        <w:rPr>
          <w:rFonts w:asciiTheme="minorEastAsia" w:hAnsiTheme="minorEastAsia" w:hint="eastAsia"/>
          <w:sz w:val="28"/>
          <w:szCs w:val="28"/>
        </w:rPr>
        <w:t>代表测评是通过</w:t>
      </w:r>
      <w:r w:rsidR="002023AD">
        <w:rPr>
          <w:rFonts w:asciiTheme="minorEastAsia" w:hAnsiTheme="minorEastAsia" w:hint="eastAsia"/>
          <w:sz w:val="28"/>
          <w:szCs w:val="28"/>
        </w:rPr>
        <w:t>年底述职考评会对被考评人员进行民主评议的方式进行；部门干事</w:t>
      </w:r>
      <w:r w:rsidRPr="00EF29CD">
        <w:rPr>
          <w:rFonts w:asciiTheme="minorEastAsia" w:hAnsiTheme="minorEastAsia" w:hint="eastAsia"/>
          <w:sz w:val="28"/>
          <w:szCs w:val="28"/>
        </w:rPr>
        <w:t>测评是通过被考评人员所在部门</w:t>
      </w:r>
      <w:r w:rsidR="002023AD">
        <w:rPr>
          <w:rFonts w:asciiTheme="minorEastAsia" w:hAnsiTheme="minorEastAsia" w:hint="eastAsia"/>
          <w:sz w:val="28"/>
          <w:szCs w:val="28"/>
        </w:rPr>
        <w:t>干事</w:t>
      </w:r>
      <w:r w:rsidRPr="00EF29CD">
        <w:rPr>
          <w:rFonts w:asciiTheme="minorEastAsia" w:hAnsiTheme="minorEastAsia" w:hint="eastAsia"/>
          <w:sz w:val="28"/>
          <w:szCs w:val="28"/>
        </w:rPr>
        <w:t>对其进行民主评议的方式进行。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（二）考评周期：测评工作每年进行一次。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五、测评标准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“德”“能”“勤”“绩”四项考评内容，每项测评标准均为：好、较好、一般、较差、差。测评人根据被测评对象的现实表现，对照“德”、“能”、“勤”、“绩”的内容要求，在做出基本评价的基础上，选择相对应的测评结果栏打“√”。</w:t>
      </w:r>
    </w:p>
    <w:p w:rsidR="00F85E94" w:rsidRPr="00EF29CD" w:rsidRDefault="00F85E94" w:rsidP="00EF29CD">
      <w:pPr>
        <w:ind w:firstLineChars="295" w:firstLine="82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lastRenderedPageBreak/>
        <w:t>六、权重分配</w:t>
      </w:r>
    </w:p>
    <w:p w:rsidR="00F85E94" w:rsidRPr="00EF29CD" w:rsidRDefault="00F85E94" w:rsidP="00EF2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上级测评、同级测评、</w:t>
      </w:r>
      <w:r w:rsidR="002023AD">
        <w:rPr>
          <w:rFonts w:asciiTheme="minorEastAsia" w:hAnsiTheme="minorEastAsia" w:hint="eastAsia"/>
          <w:sz w:val="28"/>
          <w:szCs w:val="28"/>
        </w:rPr>
        <w:t>学生代表和部门干事</w:t>
      </w:r>
      <w:r w:rsidRPr="00EF29CD">
        <w:rPr>
          <w:rFonts w:asciiTheme="minorEastAsia" w:hAnsiTheme="minorEastAsia" w:hint="eastAsia"/>
          <w:sz w:val="28"/>
          <w:szCs w:val="28"/>
        </w:rPr>
        <w:t>测评分别占测评总分的 40%、20%、40%。</w:t>
      </w:r>
      <w:r w:rsidR="002023AD">
        <w:rPr>
          <w:rFonts w:asciiTheme="minorEastAsia" w:hAnsiTheme="minorEastAsia" w:hint="eastAsia"/>
          <w:sz w:val="28"/>
          <w:szCs w:val="28"/>
        </w:rPr>
        <w:t>在学生代表和部门干事测评中：学生</w:t>
      </w:r>
      <w:r w:rsidRPr="00EF29CD">
        <w:rPr>
          <w:rFonts w:asciiTheme="minorEastAsia" w:hAnsiTheme="minorEastAsia" w:hint="eastAsia"/>
          <w:sz w:val="28"/>
          <w:szCs w:val="28"/>
        </w:rPr>
        <w:t>代表的测评权重占25%，本部门</w:t>
      </w:r>
      <w:r w:rsidR="002023AD">
        <w:rPr>
          <w:rFonts w:asciiTheme="minorEastAsia" w:hAnsiTheme="minorEastAsia" w:hint="eastAsia"/>
          <w:sz w:val="28"/>
          <w:szCs w:val="28"/>
        </w:rPr>
        <w:t>干事</w:t>
      </w:r>
      <w:r w:rsidRPr="00EF29CD">
        <w:rPr>
          <w:rFonts w:asciiTheme="minorEastAsia" w:hAnsiTheme="minorEastAsia" w:hint="eastAsia"/>
          <w:sz w:val="28"/>
          <w:szCs w:val="28"/>
        </w:rPr>
        <w:t>的测评权重占 15%。</w:t>
      </w:r>
    </w:p>
    <w:p w:rsidR="002023AD" w:rsidRPr="002023AD" w:rsidRDefault="00F85E94" w:rsidP="002023A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七、计分办法</w:t>
      </w:r>
    </w:p>
    <w:p w:rsidR="002023AD" w:rsidRPr="00EF29CD" w:rsidRDefault="002023AD" w:rsidP="002023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023AD">
        <w:rPr>
          <w:rFonts w:asciiTheme="minorEastAsia" w:hAnsiTheme="minorEastAsia" w:hint="eastAsia"/>
          <w:sz w:val="28"/>
          <w:szCs w:val="28"/>
        </w:rPr>
        <w:t>测评得分=∑测评主体（“好”票数×95+“较好”票数×</w:t>
      </w:r>
      <w:r>
        <w:rPr>
          <w:rFonts w:asciiTheme="minorEastAsia" w:hAnsiTheme="minorEastAsia" w:hint="eastAsia"/>
          <w:sz w:val="28"/>
          <w:szCs w:val="28"/>
        </w:rPr>
        <w:t>85+</w:t>
      </w:r>
      <w:r w:rsidRPr="002023AD">
        <w:rPr>
          <w:rFonts w:asciiTheme="minorEastAsia" w:hAnsiTheme="minorEastAsia" w:hint="eastAsia"/>
          <w:sz w:val="28"/>
          <w:szCs w:val="28"/>
        </w:rPr>
        <w:t>“一般”票数×75+“较差”票数×65+“差”票数×55）/总有效票数）×测评主体权重。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八、考评结果及运用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（一）考评结果为优秀、称职、基本称职、不称职四个等次。</w:t>
      </w:r>
    </w:p>
    <w:p w:rsidR="00F85E94" w:rsidRPr="00EF29CD" w:rsidRDefault="00F85E94" w:rsidP="00F85E94">
      <w:pPr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一般按不超过 25%的比例，从得分 90 分及以上中确定优秀等次；</w:t>
      </w:r>
    </w:p>
    <w:p w:rsidR="00F85E94" w:rsidRPr="00EF29CD" w:rsidRDefault="00F85E94" w:rsidP="00F85E94">
      <w:pPr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得分在 75 分（含）至 90 分及 90 分以上未获得优秀等次的，均</w:t>
      </w:r>
    </w:p>
    <w:p w:rsidR="00F85E94" w:rsidRPr="00EF29CD" w:rsidRDefault="00F85E94" w:rsidP="00F85E94">
      <w:pPr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为称职等次；得分在 60 分（含）以上至 75 分以下的为“基本称</w:t>
      </w:r>
    </w:p>
    <w:p w:rsidR="00F85E94" w:rsidRPr="00EF29CD" w:rsidRDefault="00F85E94" w:rsidP="00F85E94">
      <w:pPr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职”，得分在 60 分以下的为“不称职”。</w:t>
      </w:r>
    </w:p>
    <w:p w:rsidR="00F85E94" w:rsidRPr="00EF29CD" w:rsidRDefault="00F85E94" w:rsidP="002023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（二）考评结果作为</w:t>
      </w:r>
      <w:r w:rsidR="002023AD">
        <w:rPr>
          <w:rFonts w:asciiTheme="minorEastAsia" w:hAnsiTheme="minorEastAsia" w:hint="eastAsia"/>
          <w:sz w:val="28"/>
          <w:szCs w:val="28"/>
        </w:rPr>
        <w:t>部门负责人</w:t>
      </w:r>
      <w:r w:rsidR="00461199">
        <w:rPr>
          <w:rFonts w:asciiTheme="minorEastAsia" w:hAnsiTheme="minorEastAsia" w:hint="eastAsia"/>
          <w:sz w:val="28"/>
          <w:szCs w:val="28"/>
        </w:rPr>
        <w:t>聘任重要依据。</w:t>
      </w:r>
      <w:r w:rsidRPr="00EF29CD">
        <w:rPr>
          <w:rFonts w:asciiTheme="minorEastAsia" w:hAnsiTheme="minorEastAsia" w:hint="eastAsia"/>
          <w:sz w:val="28"/>
          <w:szCs w:val="28"/>
        </w:rPr>
        <w:t>对综合考评结果为优秀的人员，予以通报；对综合考评结果排名靠后的人员，视情由</w:t>
      </w:r>
      <w:r w:rsidR="00461199">
        <w:rPr>
          <w:rFonts w:asciiTheme="minorEastAsia" w:hAnsiTheme="minorEastAsia" w:hint="eastAsia"/>
          <w:sz w:val="28"/>
          <w:szCs w:val="28"/>
        </w:rPr>
        <w:t>团委负责人</w:t>
      </w:r>
      <w:r w:rsidRPr="00EF29CD">
        <w:rPr>
          <w:rFonts w:asciiTheme="minorEastAsia" w:hAnsiTheme="minorEastAsia" w:hint="eastAsia"/>
          <w:sz w:val="28"/>
          <w:szCs w:val="28"/>
        </w:rPr>
        <w:t>约谈；对考评结果为不称职或不适宜担任现职的人员适时调整。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九、考评工作程序</w:t>
      </w:r>
    </w:p>
    <w:p w:rsidR="00F85E94" w:rsidRPr="00EF29CD" w:rsidRDefault="00F85E94" w:rsidP="004611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</w:t>
      </w:r>
      <w:r w:rsidR="00461199">
        <w:rPr>
          <w:rFonts w:asciiTheme="minorEastAsia" w:hAnsiTheme="minorEastAsia" w:hint="eastAsia"/>
          <w:sz w:val="28"/>
          <w:szCs w:val="28"/>
        </w:rPr>
        <w:t>组织部</w:t>
      </w:r>
      <w:r w:rsidRPr="00EF29CD">
        <w:rPr>
          <w:rFonts w:asciiTheme="minorEastAsia" w:hAnsiTheme="minorEastAsia" w:hint="eastAsia"/>
          <w:sz w:val="28"/>
          <w:szCs w:val="28"/>
        </w:rPr>
        <w:t>根据</w:t>
      </w:r>
      <w:r w:rsidR="00461199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要求</w:t>
      </w:r>
      <w:r w:rsidR="00461199">
        <w:rPr>
          <w:rFonts w:asciiTheme="minorEastAsia" w:hAnsiTheme="minorEastAsia" w:hint="eastAsia"/>
          <w:sz w:val="28"/>
          <w:szCs w:val="28"/>
        </w:rPr>
        <w:t>，</w:t>
      </w:r>
      <w:r w:rsidRPr="00EF29CD">
        <w:rPr>
          <w:rFonts w:asciiTheme="minorEastAsia" w:hAnsiTheme="minorEastAsia" w:hint="eastAsia"/>
          <w:sz w:val="28"/>
          <w:szCs w:val="28"/>
        </w:rPr>
        <w:t>提出当年</w:t>
      </w:r>
      <w:r w:rsidR="00461199">
        <w:rPr>
          <w:rFonts w:asciiTheme="minorEastAsia" w:hAnsiTheme="minorEastAsia" w:hint="eastAsia"/>
          <w:sz w:val="28"/>
          <w:szCs w:val="28"/>
        </w:rPr>
        <w:t>部门负责人</w:t>
      </w:r>
      <w:r w:rsidRPr="00EF29CD">
        <w:rPr>
          <w:rFonts w:asciiTheme="minorEastAsia" w:hAnsiTheme="minorEastAsia" w:hint="eastAsia"/>
          <w:sz w:val="28"/>
          <w:szCs w:val="28"/>
        </w:rPr>
        <w:t>考评实施方案，经</w:t>
      </w:r>
      <w:r w:rsidR="00461199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同意后组织实施。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（二）</w:t>
      </w:r>
      <w:r w:rsidR="00461199">
        <w:rPr>
          <w:rFonts w:asciiTheme="minorEastAsia" w:hAnsiTheme="minorEastAsia" w:hint="eastAsia"/>
          <w:sz w:val="28"/>
          <w:szCs w:val="28"/>
        </w:rPr>
        <w:t>部门负责人</w:t>
      </w:r>
      <w:r w:rsidRPr="00EF29CD">
        <w:rPr>
          <w:rFonts w:asciiTheme="minorEastAsia" w:hAnsiTheme="minorEastAsia" w:hint="eastAsia"/>
          <w:sz w:val="28"/>
          <w:szCs w:val="28"/>
        </w:rPr>
        <w:t>进行自我评价，并形成书面述职报告。</w:t>
      </w:r>
    </w:p>
    <w:p w:rsidR="00F85E94" w:rsidRPr="00EF29CD" w:rsidRDefault="00F85E94" w:rsidP="004611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lastRenderedPageBreak/>
        <w:t>（三）</w:t>
      </w:r>
      <w:r w:rsidR="00461199">
        <w:rPr>
          <w:rFonts w:asciiTheme="minorEastAsia" w:hAnsiTheme="minorEastAsia" w:hint="eastAsia"/>
          <w:sz w:val="28"/>
          <w:szCs w:val="28"/>
        </w:rPr>
        <w:t>组织部组织和实施上级测评、同级测评、学生</w:t>
      </w:r>
      <w:r w:rsidRPr="00EF29CD">
        <w:rPr>
          <w:rFonts w:asciiTheme="minorEastAsia" w:hAnsiTheme="minorEastAsia" w:hint="eastAsia"/>
          <w:sz w:val="28"/>
          <w:szCs w:val="28"/>
        </w:rPr>
        <w:t>代表和部门</w:t>
      </w:r>
      <w:r w:rsidR="00461199">
        <w:rPr>
          <w:rFonts w:asciiTheme="minorEastAsia" w:hAnsiTheme="minorEastAsia" w:hint="eastAsia"/>
          <w:sz w:val="28"/>
          <w:szCs w:val="28"/>
        </w:rPr>
        <w:t>干事</w:t>
      </w:r>
      <w:r w:rsidRPr="00EF29CD">
        <w:rPr>
          <w:rFonts w:asciiTheme="minorEastAsia" w:hAnsiTheme="minorEastAsia" w:hint="eastAsia"/>
          <w:sz w:val="28"/>
          <w:szCs w:val="28"/>
        </w:rPr>
        <w:t>测评工作。</w:t>
      </w:r>
    </w:p>
    <w:p w:rsidR="00F85E94" w:rsidRPr="00EF29CD" w:rsidRDefault="00F85E94" w:rsidP="004611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（四）</w:t>
      </w:r>
      <w:r w:rsidR="00461199">
        <w:rPr>
          <w:rFonts w:asciiTheme="minorEastAsia" w:hAnsiTheme="minorEastAsia" w:hint="eastAsia"/>
          <w:sz w:val="28"/>
          <w:szCs w:val="28"/>
        </w:rPr>
        <w:t>组织部</w:t>
      </w:r>
      <w:r w:rsidRPr="00EF29CD">
        <w:rPr>
          <w:rFonts w:asciiTheme="minorEastAsia" w:hAnsiTheme="minorEastAsia" w:hint="eastAsia"/>
          <w:sz w:val="28"/>
          <w:szCs w:val="28"/>
        </w:rPr>
        <w:t>汇总</w:t>
      </w:r>
      <w:r w:rsidR="00461199">
        <w:rPr>
          <w:rFonts w:asciiTheme="minorEastAsia" w:hAnsiTheme="minorEastAsia" w:hint="eastAsia"/>
          <w:sz w:val="28"/>
          <w:szCs w:val="28"/>
        </w:rPr>
        <w:t>部门负责人</w:t>
      </w:r>
      <w:r w:rsidRPr="00EF29CD">
        <w:rPr>
          <w:rFonts w:asciiTheme="minorEastAsia" w:hAnsiTheme="minorEastAsia" w:hint="eastAsia"/>
          <w:sz w:val="28"/>
          <w:szCs w:val="28"/>
        </w:rPr>
        <w:t>考评结果，并向</w:t>
      </w:r>
      <w:r w:rsidR="00461199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汇报，审定考评结果。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（五）</w:t>
      </w:r>
      <w:r w:rsidR="00461199">
        <w:rPr>
          <w:rFonts w:asciiTheme="minorEastAsia" w:hAnsiTheme="minorEastAsia" w:hint="eastAsia"/>
          <w:sz w:val="28"/>
          <w:szCs w:val="28"/>
        </w:rPr>
        <w:t>组织部</w:t>
      </w:r>
      <w:r w:rsidRPr="00EF29CD">
        <w:rPr>
          <w:rFonts w:asciiTheme="minorEastAsia" w:hAnsiTheme="minorEastAsia" w:hint="eastAsia"/>
          <w:sz w:val="28"/>
          <w:szCs w:val="28"/>
        </w:rPr>
        <w:t>负责向</w:t>
      </w:r>
      <w:r w:rsidR="00461199">
        <w:rPr>
          <w:rFonts w:asciiTheme="minorEastAsia" w:hAnsiTheme="minorEastAsia" w:hint="eastAsia"/>
          <w:sz w:val="28"/>
          <w:szCs w:val="28"/>
        </w:rPr>
        <w:t>部门负责人</w:t>
      </w:r>
      <w:r w:rsidRPr="00EF29CD">
        <w:rPr>
          <w:rFonts w:asciiTheme="minorEastAsia" w:hAnsiTheme="minorEastAsia" w:hint="eastAsia"/>
          <w:sz w:val="28"/>
          <w:szCs w:val="28"/>
        </w:rPr>
        <w:t>反馈年度绩效考评结果。</w:t>
      </w:r>
    </w:p>
    <w:p w:rsidR="00F85E94" w:rsidRPr="00EF29CD" w:rsidRDefault="00F85E94" w:rsidP="004611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（六）</w:t>
      </w:r>
      <w:r w:rsidR="00461199">
        <w:rPr>
          <w:rFonts w:asciiTheme="minorEastAsia" w:hAnsiTheme="minorEastAsia" w:hint="eastAsia"/>
          <w:sz w:val="28"/>
          <w:szCs w:val="28"/>
        </w:rPr>
        <w:t>部门负责人对</w:t>
      </w:r>
      <w:r w:rsidRPr="00EF29CD">
        <w:rPr>
          <w:rFonts w:asciiTheme="minorEastAsia" w:hAnsiTheme="minorEastAsia" w:hint="eastAsia"/>
          <w:sz w:val="28"/>
          <w:szCs w:val="28"/>
        </w:rPr>
        <w:t>考评结果有异议的，在接到反馈结果 7 日内可以通过</w:t>
      </w:r>
      <w:r w:rsidR="00461199">
        <w:rPr>
          <w:rFonts w:asciiTheme="minorEastAsia" w:hAnsiTheme="minorEastAsia" w:hint="eastAsia"/>
          <w:sz w:val="28"/>
          <w:szCs w:val="28"/>
        </w:rPr>
        <w:t>组织部向学院团委申诉。组织部</w:t>
      </w:r>
      <w:r w:rsidRPr="00EF29CD">
        <w:rPr>
          <w:rFonts w:asciiTheme="minorEastAsia" w:hAnsiTheme="minorEastAsia" w:hint="eastAsia"/>
          <w:sz w:val="28"/>
          <w:szCs w:val="28"/>
        </w:rPr>
        <w:t>在接到申诉</w:t>
      </w:r>
      <w:r w:rsidR="00461199">
        <w:rPr>
          <w:rFonts w:asciiTheme="minorEastAsia" w:hAnsiTheme="minorEastAsia" w:hint="eastAsia"/>
          <w:sz w:val="28"/>
          <w:szCs w:val="28"/>
        </w:rPr>
        <w:t>后将申诉提交学院团委</w:t>
      </w:r>
      <w:r w:rsidRPr="00EF29CD">
        <w:rPr>
          <w:rFonts w:asciiTheme="minorEastAsia" w:hAnsiTheme="minorEastAsia" w:hint="eastAsia"/>
          <w:sz w:val="28"/>
          <w:szCs w:val="28"/>
        </w:rPr>
        <w:t>复核裁定，并将最终考评结果再次向提出申诉的</w:t>
      </w:r>
      <w:r w:rsidR="00461199">
        <w:rPr>
          <w:rFonts w:asciiTheme="minorEastAsia" w:hAnsiTheme="minorEastAsia" w:hint="eastAsia"/>
          <w:sz w:val="28"/>
          <w:szCs w:val="28"/>
        </w:rPr>
        <w:t>部门负责人</w:t>
      </w:r>
      <w:r w:rsidRPr="00EF29CD">
        <w:rPr>
          <w:rFonts w:asciiTheme="minorEastAsia" w:hAnsiTheme="minorEastAsia" w:hint="eastAsia"/>
          <w:sz w:val="28"/>
          <w:szCs w:val="28"/>
        </w:rPr>
        <w:t>本人反馈。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（七）最终考评结果存入本人考评档案。</w:t>
      </w:r>
    </w:p>
    <w:p w:rsidR="00F85E94" w:rsidRPr="00EF29CD" w:rsidRDefault="00F85E94" w:rsidP="00EF29CD">
      <w:pPr>
        <w:ind w:firstLineChars="295" w:firstLine="82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十、组织领导及工作职责</w:t>
      </w:r>
    </w:p>
    <w:p w:rsidR="00F85E94" w:rsidRPr="00EF29CD" w:rsidRDefault="00F85E94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（一）</w:t>
      </w:r>
      <w:r w:rsidR="00461199">
        <w:rPr>
          <w:rFonts w:asciiTheme="minorEastAsia" w:hAnsiTheme="minorEastAsia" w:hint="eastAsia"/>
          <w:sz w:val="28"/>
          <w:szCs w:val="28"/>
        </w:rPr>
        <w:t>学生会部门负责人</w:t>
      </w:r>
      <w:r w:rsidRPr="00EF29CD">
        <w:rPr>
          <w:rFonts w:asciiTheme="minorEastAsia" w:hAnsiTheme="minorEastAsia" w:hint="eastAsia"/>
          <w:sz w:val="28"/>
          <w:szCs w:val="28"/>
        </w:rPr>
        <w:t>考评工作，在</w:t>
      </w:r>
      <w:r w:rsidR="00461199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统一领导下</w:t>
      </w:r>
    </w:p>
    <w:p w:rsidR="00F85E94" w:rsidRPr="00EF29CD" w:rsidRDefault="00461199" w:rsidP="00F85E9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进行。组织部承办，办公室、宣传部</w:t>
      </w:r>
      <w:r w:rsidR="00F85E94" w:rsidRPr="00EF29CD">
        <w:rPr>
          <w:rFonts w:asciiTheme="minorEastAsia" w:hAnsiTheme="minorEastAsia" w:hint="eastAsia"/>
          <w:sz w:val="28"/>
          <w:szCs w:val="28"/>
        </w:rPr>
        <w:t>配合。</w:t>
      </w:r>
    </w:p>
    <w:p w:rsidR="00F85E94" w:rsidRPr="00EF29CD" w:rsidRDefault="00461199" w:rsidP="00EF29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（二）组织部</w:t>
      </w:r>
      <w:r w:rsidR="00F85E94" w:rsidRPr="00EF29CD">
        <w:rPr>
          <w:rFonts w:asciiTheme="minorEastAsia" w:hAnsiTheme="minorEastAsia" w:hint="eastAsia"/>
          <w:sz w:val="28"/>
          <w:szCs w:val="28"/>
        </w:rPr>
        <w:t>负责</w:t>
      </w:r>
      <w:r>
        <w:rPr>
          <w:rFonts w:asciiTheme="minorEastAsia" w:hAnsiTheme="minorEastAsia" w:hint="eastAsia"/>
          <w:sz w:val="28"/>
          <w:szCs w:val="28"/>
        </w:rPr>
        <w:t>学生会部门负责人</w:t>
      </w:r>
      <w:r w:rsidR="00F85E94" w:rsidRPr="00EF29CD">
        <w:rPr>
          <w:rFonts w:asciiTheme="minorEastAsia" w:hAnsiTheme="minorEastAsia" w:hint="eastAsia"/>
          <w:sz w:val="28"/>
          <w:szCs w:val="28"/>
        </w:rPr>
        <w:t>测评的具体组织实施和各方</w:t>
      </w:r>
    </w:p>
    <w:p w:rsidR="00461199" w:rsidRDefault="00F85E94" w:rsidP="00F85E94">
      <w:pPr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面考评结果的收集、汇总、反馈等工作。</w:t>
      </w:r>
      <w:r w:rsidR="00461199">
        <w:rPr>
          <w:rFonts w:asciiTheme="minorEastAsia" w:hAnsiTheme="minorEastAsia" w:hint="eastAsia"/>
          <w:sz w:val="28"/>
          <w:szCs w:val="28"/>
        </w:rPr>
        <w:t>办公室</w:t>
      </w:r>
      <w:r w:rsidRPr="00EF29CD">
        <w:rPr>
          <w:rFonts w:asciiTheme="minorEastAsia" w:hAnsiTheme="minorEastAsia" w:hint="eastAsia"/>
          <w:sz w:val="28"/>
          <w:szCs w:val="28"/>
        </w:rPr>
        <w:t>主要负责对</w:t>
      </w:r>
      <w:r w:rsidR="00461199">
        <w:rPr>
          <w:rFonts w:asciiTheme="minorEastAsia" w:hAnsiTheme="minorEastAsia" w:hint="eastAsia"/>
          <w:sz w:val="28"/>
          <w:szCs w:val="28"/>
        </w:rPr>
        <w:t>述职测评会</w:t>
      </w:r>
      <w:r w:rsidRPr="00EF29CD">
        <w:rPr>
          <w:rFonts w:asciiTheme="minorEastAsia" w:hAnsiTheme="minorEastAsia" w:hint="eastAsia"/>
          <w:sz w:val="28"/>
          <w:szCs w:val="28"/>
        </w:rPr>
        <w:t>的指导、监督。</w:t>
      </w:r>
      <w:r w:rsidR="00461199">
        <w:rPr>
          <w:rFonts w:asciiTheme="minorEastAsia" w:hAnsiTheme="minorEastAsia" w:hint="eastAsia"/>
          <w:sz w:val="28"/>
          <w:szCs w:val="28"/>
        </w:rPr>
        <w:t>宣传部</w:t>
      </w:r>
      <w:r w:rsidRPr="00EF29CD">
        <w:rPr>
          <w:rFonts w:asciiTheme="minorEastAsia" w:hAnsiTheme="minorEastAsia" w:hint="eastAsia"/>
          <w:sz w:val="28"/>
          <w:szCs w:val="28"/>
        </w:rPr>
        <w:t>主要负责</w:t>
      </w:r>
      <w:r w:rsidR="00461199">
        <w:rPr>
          <w:rFonts w:asciiTheme="minorEastAsia" w:hAnsiTheme="minorEastAsia" w:hint="eastAsia"/>
          <w:sz w:val="28"/>
          <w:szCs w:val="28"/>
        </w:rPr>
        <w:t>会场准备、宣传报道。</w:t>
      </w:r>
    </w:p>
    <w:p w:rsidR="00F85E94" w:rsidRPr="00EF29CD" w:rsidRDefault="00F85E94" w:rsidP="00EF29CD">
      <w:pPr>
        <w:ind w:firstLineChars="245" w:firstLine="689"/>
        <w:rPr>
          <w:rFonts w:asciiTheme="minorEastAsia" w:hAnsiTheme="minorEastAsia"/>
          <w:b/>
          <w:sz w:val="28"/>
          <w:szCs w:val="28"/>
        </w:rPr>
      </w:pPr>
      <w:r w:rsidRPr="00EF29CD">
        <w:rPr>
          <w:rFonts w:asciiTheme="minorEastAsia" w:hAnsiTheme="minorEastAsia" w:hint="eastAsia"/>
          <w:b/>
          <w:sz w:val="28"/>
          <w:szCs w:val="28"/>
        </w:rPr>
        <w:t>十一、其它</w:t>
      </w:r>
    </w:p>
    <w:p w:rsidR="00F85E94" w:rsidRPr="00EF29CD" w:rsidRDefault="00F85E94" w:rsidP="0046119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t>本办法由</w:t>
      </w:r>
      <w:r w:rsidR="008B26FF" w:rsidRPr="00EF29CD">
        <w:rPr>
          <w:rFonts w:asciiTheme="minorEastAsia" w:hAnsiTheme="minorEastAsia" w:hint="eastAsia"/>
          <w:sz w:val="28"/>
          <w:szCs w:val="28"/>
        </w:rPr>
        <w:t>学院团委</w:t>
      </w:r>
      <w:r w:rsidRPr="00EF29CD">
        <w:rPr>
          <w:rFonts w:asciiTheme="minorEastAsia" w:hAnsiTheme="minorEastAsia" w:hint="eastAsia"/>
          <w:sz w:val="28"/>
          <w:szCs w:val="28"/>
        </w:rPr>
        <w:t>负责解释。</w:t>
      </w:r>
    </w:p>
    <w:p w:rsidR="0014201A" w:rsidRDefault="0014201A" w:rsidP="001E13BF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14201A" w:rsidRDefault="0014201A" w:rsidP="001E13BF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14201A" w:rsidRDefault="0014201A" w:rsidP="001E13BF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14201A" w:rsidRDefault="0014201A" w:rsidP="001E13BF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1E13BF" w:rsidRDefault="001E13BF" w:rsidP="001E13BF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EF29CD">
        <w:rPr>
          <w:rFonts w:asciiTheme="minorEastAsia" w:hAnsiTheme="minorEastAsia" w:hint="eastAsia"/>
          <w:sz w:val="28"/>
          <w:szCs w:val="28"/>
        </w:rPr>
        <w:lastRenderedPageBreak/>
        <w:t>附件：</w:t>
      </w:r>
    </w:p>
    <w:p w:rsidR="00461199" w:rsidRPr="001E13BF" w:rsidRDefault="001E13BF" w:rsidP="001E13B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461199" w:rsidRPr="001E13BF">
        <w:rPr>
          <w:rFonts w:asciiTheme="minorEastAsia" w:hAnsiTheme="minorEastAsia" w:hint="eastAsia"/>
          <w:sz w:val="28"/>
          <w:szCs w:val="28"/>
        </w:rPr>
        <w:t>安徽冶金科技职业学院学生会部门负责人</w:t>
      </w:r>
      <w:r>
        <w:rPr>
          <w:rFonts w:asciiTheme="minorEastAsia" w:hAnsiTheme="minorEastAsia" w:hint="eastAsia"/>
          <w:sz w:val="28"/>
          <w:szCs w:val="28"/>
        </w:rPr>
        <w:t>考评</w:t>
      </w:r>
      <w:r w:rsidRPr="001E13BF">
        <w:rPr>
          <w:rFonts w:asciiTheme="minorEastAsia" w:hAnsiTheme="minorEastAsia" w:hint="eastAsia"/>
          <w:sz w:val="28"/>
          <w:szCs w:val="28"/>
        </w:rPr>
        <w:t>测评标准</w:t>
      </w:r>
    </w:p>
    <w:p w:rsidR="001E13BF" w:rsidRPr="00EF29CD" w:rsidRDefault="001E13BF" w:rsidP="001E13B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1E13BF">
        <w:rPr>
          <w:rFonts w:asciiTheme="minorEastAsia" w:hAnsiTheme="minorEastAsia" w:hint="eastAsia"/>
          <w:sz w:val="28"/>
          <w:szCs w:val="28"/>
        </w:rPr>
        <w:t>安徽冶金科技职业学院学生会部门负责人考评</w:t>
      </w:r>
      <w:r w:rsidRPr="00EF29CD">
        <w:rPr>
          <w:rFonts w:asciiTheme="minorEastAsia" w:hAnsiTheme="minorEastAsia" w:hint="eastAsia"/>
          <w:sz w:val="28"/>
          <w:szCs w:val="28"/>
        </w:rPr>
        <w:t>测评表</w:t>
      </w:r>
    </w:p>
    <w:p w:rsidR="001E13BF" w:rsidRPr="00EF29CD" w:rsidRDefault="001E13BF" w:rsidP="001E13B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1E13BF">
        <w:rPr>
          <w:rFonts w:asciiTheme="minorEastAsia" w:hAnsiTheme="minorEastAsia" w:hint="eastAsia"/>
          <w:sz w:val="28"/>
          <w:szCs w:val="28"/>
        </w:rPr>
        <w:t>安徽冶金科技职业学院学生会部门负责人</w:t>
      </w:r>
      <w:r w:rsidRPr="00EF29CD">
        <w:rPr>
          <w:rFonts w:asciiTheme="minorEastAsia" w:hAnsiTheme="minorEastAsia" w:hint="eastAsia"/>
          <w:sz w:val="28"/>
          <w:szCs w:val="28"/>
        </w:rPr>
        <w:t>考评测评汇总表</w:t>
      </w:r>
    </w:p>
    <w:p w:rsidR="00C23BB0" w:rsidRDefault="00C23BB0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F746E" w:rsidRDefault="00BF746E" w:rsidP="00F85E94">
      <w:pPr>
        <w:rPr>
          <w:rFonts w:asciiTheme="minorEastAsia" w:hAnsiTheme="minorEastAsia"/>
          <w:sz w:val="28"/>
          <w:szCs w:val="28"/>
        </w:rPr>
      </w:pPr>
    </w:p>
    <w:p w:rsidR="00B5070A" w:rsidRDefault="00B5070A" w:rsidP="003D2ED8">
      <w:pPr>
        <w:ind w:firstLineChars="49" w:firstLine="157"/>
        <w:rPr>
          <w:rFonts w:asciiTheme="minorEastAsia" w:hAnsiTheme="minorEastAsia"/>
          <w:b/>
          <w:sz w:val="32"/>
          <w:szCs w:val="32"/>
        </w:rPr>
      </w:pPr>
    </w:p>
    <w:p w:rsidR="003D2ED8" w:rsidRPr="00B5070A" w:rsidRDefault="00B5070A" w:rsidP="00B5070A">
      <w:pPr>
        <w:jc w:val="left"/>
        <w:rPr>
          <w:rFonts w:asciiTheme="minorEastAsia" w:hAnsiTheme="minorEastAsia"/>
          <w:sz w:val="28"/>
          <w:szCs w:val="28"/>
        </w:rPr>
      </w:pPr>
      <w:r w:rsidRPr="00B5070A">
        <w:rPr>
          <w:rFonts w:asciiTheme="minorEastAsia" w:hAnsiTheme="minorEastAsia" w:hint="eastAsia"/>
          <w:sz w:val="28"/>
          <w:szCs w:val="28"/>
        </w:rPr>
        <w:lastRenderedPageBreak/>
        <w:t>附件 1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3D2ED8" w:rsidRPr="00B5070A">
        <w:rPr>
          <w:rFonts w:asciiTheme="minorEastAsia" w:hAnsiTheme="minorEastAsia" w:hint="eastAsia"/>
          <w:b/>
          <w:sz w:val="28"/>
          <w:szCs w:val="28"/>
        </w:rPr>
        <w:t>安徽冶金科技职业学院学生会部门负责人考评测评标准</w:t>
      </w:r>
    </w:p>
    <w:tbl>
      <w:tblPr>
        <w:tblStyle w:val="a5"/>
        <w:tblpPr w:leftFromText="180" w:rightFromText="180" w:vertAnchor="text" w:tblpXSpec="center" w:tblpY="1"/>
        <w:tblOverlap w:val="never"/>
        <w:tblW w:w="8621" w:type="dxa"/>
        <w:tblLook w:val="04A0"/>
      </w:tblPr>
      <w:tblGrid>
        <w:gridCol w:w="1528"/>
        <w:gridCol w:w="4219"/>
        <w:gridCol w:w="2874"/>
      </w:tblGrid>
      <w:tr w:rsidR="00BF746E" w:rsidRPr="00B11203" w:rsidTr="003D2ED8">
        <w:trPr>
          <w:trHeight w:val="556"/>
        </w:trPr>
        <w:tc>
          <w:tcPr>
            <w:tcW w:w="5747" w:type="dxa"/>
            <w:gridSpan w:val="2"/>
            <w:vAlign w:val="center"/>
          </w:tcPr>
          <w:p w:rsidR="00BF746E" w:rsidRPr="00B11203" w:rsidRDefault="00BF746E" w:rsidP="003A7B7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B11203">
              <w:rPr>
                <w:rFonts w:ascii="楷体" w:eastAsia="楷体" w:hAnsi="楷体" w:hint="eastAsia"/>
                <w:sz w:val="30"/>
                <w:szCs w:val="30"/>
              </w:rPr>
              <w:t>考 评 内 容</w:t>
            </w:r>
          </w:p>
        </w:tc>
        <w:tc>
          <w:tcPr>
            <w:tcW w:w="2874" w:type="dxa"/>
            <w:vAlign w:val="center"/>
          </w:tcPr>
          <w:p w:rsidR="00BF746E" w:rsidRPr="00B11203" w:rsidRDefault="00BF746E" w:rsidP="003A7B7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B11203">
              <w:rPr>
                <w:rFonts w:ascii="楷体" w:eastAsia="楷体" w:hAnsi="楷体"/>
                <w:sz w:val="30"/>
                <w:szCs w:val="30"/>
              </w:rPr>
              <w:t>测 评 标 准</w:t>
            </w:r>
          </w:p>
        </w:tc>
      </w:tr>
      <w:tr w:rsidR="00BF746E" w:rsidRPr="00B11203" w:rsidTr="003D2ED8">
        <w:trPr>
          <w:trHeight w:val="3032"/>
        </w:trPr>
        <w:tc>
          <w:tcPr>
            <w:tcW w:w="1528" w:type="dxa"/>
            <w:vAlign w:val="center"/>
          </w:tcPr>
          <w:p w:rsidR="00BF746E" w:rsidRPr="003D2ED8" w:rsidRDefault="00BF746E" w:rsidP="003A7B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德</w:t>
            </w:r>
          </w:p>
        </w:tc>
        <w:tc>
          <w:tcPr>
            <w:tcW w:w="4218" w:type="dxa"/>
            <w:vAlign w:val="center"/>
          </w:tcPr>
          <w:p w:rsidR="00BF746E" w:rsidRPr="003D2ED8" w:rsidRDefault="00BF746E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b/>
                <w:bCs/>
                <w:sz w:val="28"/>
                <w:szCs w:val="28"/>
              </w:rPr>
              <w:t>思想政治表现</w:t>
            </w:r>
            <w:r w:rsidRPr="003D2ED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。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主要指政策理论水平，组织观念，思想品德</w:t>
            </w:r>
            <w:r w:rsidRPr="003D2ED8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实事求是，联系</w:t>
            </w:r>
            <w:r w:rsidR="003D2ED8">
              <w:rPr>
                <w:rFonts w:asciiTheme="minorEastAsia" w:hAnsiTheme="minorEastAsia" w:hint="eastAsia"/>
                <w:sz w:val="28"/>
                <w:szCs w:val="28"/>
              </w:rPr>
              <w:t>同学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，团结协作</w:t>
            </w:r>
            <w:r w:rsidRPr="003D2ED8">
              <w:rPr>
                <w:rFonts w:asciiTheme="minorEastAsia" w:hAnsiTheme="minorEastAsia" w:hint="eastAsia"/>
                <w:sz w:val="28"/>
                <w:szCs w:val="28"/>
              </w:rPr>
              <w:t>等。</w:t>
            </w:r>
          </w:p>
        </w:tc>
        <w:tc>
          <w:tcPr>
            <w:tcW w:w="2874" w:type="dxa"/>
            <w:vAlign w:val="center"/>
          </w:tcPr>
          <w:p w:rsidR="003D2ED8" w:rsidRPr="003D2ED8" w:rsidRDefault="00BF746E" w:rsidP="003D2ED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好 </w:t>
            </w:r>
          </w:p>
          <w:p w:rsidR="00BF746E" w:rsidRPr="003D2ED8" w:rsidRDefault="00BF746E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 w:cs="宋体" w:hint="eastAsia"/>
                <w:sz w:val="28"/>
                <w:szCs w:val="28"/>
              </w:rPr>
              <w:t>②</w:t>
            </w:r>
            <w:r w:rsidRPr="003D2ED8">
              <w:rPr>
                <w:rFonts w:asciiTheme="minorEastAsia" w:hAnsiTheme="minorEastAsia" w:cs="Calibri"/>
                <w:sz w:val="28"/>
                <w:szCs w:val="28"/>
              </w:rPr>
              <w:t xml:space="preserve"> 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较 好</w:t>
            </w:r>
          </w:p>
          <w:p w:rsidR="00BF746E" w:rsidRPr="003D2ED8" w:rsidRDefault="00BF746E" w:rsidP="003A7B75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③ 一 般 </w:t>
            </w:r>
          </w:p>
          <w:p w:rsidR="00BF746E" w:rsidRPr="003D2ED8" w:rsidRDefault="00BF746E" w:rsidP="003A7B75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④ 较 差 </w:t>
            </w:r>
          </w:p>
          <w:p w:rsidR="00BF746E" w:rsidRPr="003D2ED8" w:rsidRDefault="00BF746E" w:rsidP="003A7B75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⑤ 差</w:t>
            </w:r>
          </w:p>
        </w:tc>
      </w:tr>
      <w:tr w:rsidR="00BF746E" w:rsidRPr="00B11203" w:rsidTr="003A7B75">
        <w:trPr>
          <w:trHeight w:val="2290"/>
        </w:trPr>
        <w:tc>
          <w:tcPr>
            <w:tcW w:w="1528" w:type="dxa"/>
            <w:vAlign w:val="center"/>
          </w:tcPr>
          <w:p w:rsidR="00BF746E" w:rsidRPr="003D2ED8" w:rsidRDefault="00BF746E" w:rsidP="003A7B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能</w:t>
            </w:r>
          </w:p>
        </w:tc>
        <w:tc>
          <w:tcPr>
            <w:tcW w:w="4218" w:type="dxa"/>
            <w:vAlign w:val="center"/>
          </w:tcPr>
          <w:p w:rsidR="00BF746E" w:rsidRPr="003D2ED8" w:rsidRDefault="00BF746E" w:rsidP="003A7B75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b/>
                <w:bCs/>
                <w:sz w:val="28"/>
                <w:szCs w:val="28"/>
              </w:rPr>
              <w:t>工作能力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。</w:t>
            </w:r>
            <w:r w:rsidR="00B5070A" w:rsidRPr="00EF29CD">
              <w:rPr>
                <w:rFonts w:asciiTheme="minorEastAsia" w:hAnsiTheme="minorEastAsia" w:hint="eastAsia"/>
                <w:sz w:val="28"/>
                <w:szCs w:val="28"/>
              </w:rPr>
              <w:t>主要指组织管理能力、开拓创新能力、执行能力、业务知识水平、分析解决问题能力等。</w:t>
            </w:r>
          </w:p>
        </w:tc>
        <w:tc>
          <w:tcPr>
            <w:tcW w:w="2874" w:type="dxa"/>
            <w:vAlign w:val="center"/>
          </w:tcPr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① 好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② 较 好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③ 一 般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④ 较 差 </w:t>
            </w:r>
          </w:p>
          <w:p w:rsidR="00BF746E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⑤ 差</w:t>
            </w:r>
          </w:p>
        </w:tc>
      </w:tr>
      <w:tr w:rsidR="00BF746E" w:rsidRPr="00B11203" w:rsidTr="003D2ED8">
        <w:trPr>
          <w:trHeight w:val="3007"/>
        </w:trPr>
        <w:tc>
          <w:tcPr>
            <w:tcW w:w="1528" w:type="dxa"/>
            <w:vAlign w:val="center"/>
          </w:tcPr>
          <w:p w:rsidR="00BF746E" w:rsidRPr="003D2ED8" w:rsidRDefault="00BF746E" w:rsidP="003A7B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勤</w:t>
            </w:r>
          </w:p>
        </w:tc>
        <w:tc>
          <w:tcPr>
            <w:tcW w:w="4218" w:type="dxa"/>
            <w:vAlign w:val="center"/>
          </w:tcPr>
          <w:p w:rsidR="00BF746E" w:rsidRPr="003D2ED8" w:rsidRDefault="00BF746E" w:rsidP="003A7B75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b/>
                <w:bCs/>
                <w:sz w:val="28"/>
                <w:szCs w:val="28"/>
              </w:rPr>
              <w:t>工作表现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。</w:t>
            </w:r>
            <w:r w:rsidR="00B5070A" w:rsidRPr="00EF29CD">
              <w:rPr>
                <w:rFonts w:asciiTheme="minorEastAsia" w:hAnsiTheme="minorEastAsia" w:hint="eastAsia"/>
                <w:sz w:val="28"/>
                <w:szCs w:val="28"/>
              </w:rPr>
              <w:t>主要指事业心、责任感、工作作风、勤奋程度、工作纪律、服务态度、敬业精神等。</w:t>
            </w:r>
          </w:p>
        </w:tc>
        <w:tc>
          <w:tcPr>
            <w:tcW w:w="2874" w:type="dxa"/>
            <w:vAlign w:val="center"/>
          </w:tcPr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① 好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② 较 好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③ 一 般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④ 较 差 </w:t>
            </w:r>
          </w:p>
          <w:p w:rsidR="00BF746E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⑤ 差</w:t>
            </w:r>
          </w:p>
        </w:tc>
      </w:tr>
      <w:tr w:rsidR="00BF746E" w:rsidRPr="00B11203" w:rsidTr="003D2ED8">
        <w:trPr>
          <w:trHeight w:val="416"/>
        </w:trPr>
        <w:tc>
          <w:tcPr>
            <w:tcW w:w="1528" w:type="dxa"/>
            <w:vAlign w:val="center"/>
          </w:tcPr>
          <w:p w:rsidR="00BF746E" w:rsidRPr="003D2ED8" w:rsidRDefault="00BF746E" w:rsidP="003A7B7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绩</w:t>
            </w:r>
          </w:p>
        </w:tc>
        <w:tc>
          <w:tcPr>
            <w:tcW w:w="4218" w:type="dxa"/>
            <w:vAlign w:val="center"/>
          </w:tcPr>
          <w:p w:rsidR="00BF746E" w:rsidRPr="00B5070A" w:rsidRDefault="00BF746E" w:rsidP="00B5070A">
            <w:pPr>
              <w:ind w:firstLineChars="200" w:firstLine="562"/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b/>
                <w:bCs/>
                <w:sz w:val="28"/>
                <w:szCs w:val="28"/>
              </w:rPr>
              <w:t>工作实绩</w:t>
            </w:r>
            <w:r w:rsidRPr="003D2ED8">
              <w:rPr>
                <w:rFonts w:asciiTheme="minorEastAsia" w:hAnsiTheme="minorEastAsia"/>
                <w:sz w:val="28"/>
                <w:szCs w:val="28"/>
              </w:rPr>
              <w:t>。</w:t>
            </w:r>
            <w:r w:rsidR="00B5070A" w:rsidRPr="00EF29CD">
              <w:rPr>
                <w:rFonts w:asciiTheme="minorEastAsia" w:hAnsiTheme="minorEastAsia" w:hint="eastAsia"/>
                <w:sz w:val="28"/>
                <w:szCs w:val="28"/>
              </w:rPr>
              <w:t>主要指履行岗位工作职责、工作思路、工作落实及本部门工作完成情况等。</w:t>
            </w:r>
          </w:p>
        </w:tc>
        <w:tc>
          <w:tcPr>
            <w:tcW w:w="2874" w:type="dxa"/>
            <w:vAlign w:val="center"/>
          </w:tcPr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① 好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② 较 好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③ 一 般 </w:t>
            </w:r>
          </w:p>
          <w:p w:rsidR="003D2ED8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 xml:space="preserve">④ 较 差 </w:t>
            </w:r>
          </w:p>
          <w:p w:rsidR="00BF746E" w:rsidRPr="003D2ED8" w:rsidRDefault="003D2ED8" w:rsidP="003D2ED8">
            <w:pPr>
              <w:rPr>
                <w:rFonts w:asciiTheme="minorEastAsia" w:hAnsiTheme="minorEastAsia"/>
                <w:sz w:val="28"/>
                <w:szCs w:val="28"/>
              </w:rPr>
            </w:pPr>
            <w:r w:rsidRPr="003D2ED8">
              <w:rPr>
                <w:rFonts w:asciiTheme="minorEastAsia" w:hAnsiTheme="minorEastAsia"/>
                <w:sz w:val="28"/>
                <w:szCs w:val="28"/>
              </w:rPr>
              <w:t>⑤ 差</w:t>
            </w:r>
          </w:p>
        </w:tc>
      </w:tr>
    </w:tbl>
    <w:p w:rsidR="00BF746E" w:rsidRPr="003D2ED8" w:rsidRDefault="00BF746E" w:rsidP="00BF746E">
      <w:pPr>
        <w:jc w:val="left"/>
        <w:rPr>
          <w:rFonts w:asciiTheme="minorEastAsia" w:hAnsiTheme="minorEastAsia"/>
          <w:sz w:val="32"/>
          <w:szCs w:val="32"/>
        </w:rPr>
      </w:pPr>
      <w:r w:rsidRPr="003D2ED8">
        <w:rPr>
          <w:rFonts w:asciiTheme="minorEastAsia" w:hAnsiTheme="minorEastAsia" w:hint="eastAsia"/>
          <w:sz w:val="32"/>
          <w:szCs w:val="32"/>
        </w:rPr>
        <w:lastRenderedPageBreak/>
        <w:t>附件 2</w:t>
      </w:r>
    </w:p>
    <w:p w:rsidR="00BF746E" w:rsidRPr="003D2ED8" w:rsidRDefault="003D2ED8" w:rsidP="003D2ED8">
      <w:pPr>
        <w:ind w:firstLineChars="98" w:firstLine="315"/>
        <w:rPr>
          <w:rFonts w:ascii="黑体" w:eastAsia="黑体" w:hAnsi="黑体"/>
          <w:b/>
          <w:sz w:val="32"/>
          <w:szCs w:val="32"/>
        </w:rPr>
      </w:pPr>
      <w:r w:rsidRPr="003D2ED8">
        <w:rPr>
          <w:rFonts w:asciiTheme="minorEastAsia" w:hAnsiTheme="minorEastAsia" w:hint="eastAsia"/>
          <w:b/>
          <w:sz w:val="32"/>
          <w:szCs w:val="32"/>
        </w:rPr>
        <w:t>安徽冶金科技职业学院学生会部门负责人考评测评表</w:t>
      </w:r>
    </w:p>
    <w:tbl>
      <w:tblPr>
        <w:tblStyle w:val="a5"/>
        <w:tblW w:w="8432" w:type="dxa"/>
        <w:tblLook w:val="04A0"/>
      </w:tblPr>
      <w:tblGrid>
        <w:gridCol w:w="828"/>
        <w:gridCol w:w="1222"/>
        <w:gridCol w:w="1206"/>
        <w:gridCol w:w="1076"/>
        <w:gridCol w:w="1025"/>
        <w:gridCol w:w="1025"/>
        <w:gridCol w:w="1025"/>
        <w:gridCol w:w="1025"/>
      </w:tblGrid>
      <w:tr w:rsidR="00BF746E" w:rsidRPr="001678C1" w:rsidTr="003A7B75">
        <w:trPr>
          <w:trHeight w:val="314"/>
        </w:trPr>
        <w:tc>
          <w:tcPr>
            <w:tcW w:w="828" w:type="dxa"/>
            <w:vMerge w:val="restart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222" w:type="dxa"/>
            <w:vMerge w:val="restart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06" w:type="dxa"/>
            <w:vMerge w:val="restart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5176" w:type="dxa"/>
            <w:gridSpan w:val="5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测评结果</w:t>
            </w:r>
          </w:p>
        </w:tc>
      </w:tr>
      <w:tr w:rsidR="00BF746E" w:rsidRPr="001678C1" w:rsidTr="003A7B75">
        <w:trPr>
          <w:trHeight w:val="51"/>
        </w:trPr>
        <w:tc>
          <w:tcPr>
            <w:tcW w:w="828" w:type="dxa"/>
            <w:vMerge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Merge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好</w:t>
            </w: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较好</w:t>
            </w: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一般</w:t>
            </w: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较差</w:t>
            </w: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678C1">
              <w:rPr>
                <w:rFonts w:ascii="楷体" w:eastAsia="楷体" w:hAnsi="楷体" w:hint="eastAsia"/>
                <w:sz w:val="28"/>
                <w:szCs w:val="28"/>
              </w:rPr>
              <w:t>差</w:t>
            </w: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03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070A" w:rsidRPr="001678C1" w:rsidTr="003A7B75">
        <w:trPr>
          <w:trHeight w:val="303"/>
        </w:trPr>
        <w:tc>
          <w:tcPr>
            <w:tcW w:w="828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070A" w:rsidRPr="001678C1" w:rsidTr="003A7B75">
        <w:trPr>
          <w:trHeight w:val="303"/>
        </w:trPr>
        <w:tc>
          <w:tcPr>
            <w:tcW w:w="828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070A" w:rsidRPr="001678C1" w:rsidRDefault="00B5070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678C1" w:rsidTr="003A7B75">
        <w:trPr>
          <w:trHeight w:val="314"/>
        </w:trPr>
        <w:tc>
          <w:tcPr>
            <w:tcW w:w="828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F746E" w:rsidRPr="001678C1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BF746E" w:rsidRPr="001678C1" w:rsidRDefault="00BF746E" w:rsidP="00BF746E">
      <w:pPr>
        <w:rPr>
          <w:rFonts w:ascii="楷体" w:eastAsia="楷体" w:hAnsi="楷体"/>
          <w:sz w:val="24"/>
          <w:szCs w:val="24"/>
        </w:rPr>
      </w:pPr>
      <w:r w:rsidRPr="001678C1">
        <w:rPr>
          <w:rFonts w:ascii="楷体" w:eastAsia="楷体" w:hAnsi="楷体"/>
          <w:sz w:val="24"/>
          <w:szCs w:val="24"/>
        </w:rPr>
        <w:t>注： 1、此表分 A、B、C、D 表。A 表用于上级测评；B 表用于</w:t>
      </w:r>
      <w:r w:rsidR="003D2ED8">
        <w:rPr>
          <w:rFonts w:ascii="楷体" w:eastAsia="楷体" w:hAnsi="楷体" w:hint="eastAsia"/>
          <w:sz w:val="24"/>
          <w:szCs w:val="24"/>
        </w:rPr>
        <w:t>部门负责人</w:t>
      </w:r>
      <w:r w:rsidRPr="001678C1">
        <w:rPr>
          <w:rFonts w:ascii="楷体" w:eastAsia="楷体" w:hAnsi="楷体"/>
          <w:sz w:val="24"/>
          <w:szCs w:val="24"/>
        </w:rPr>
        <w:t>测评；C 表用于</w:t>
      </w:r>
      <w:r w:rsidR="003D2ED8">
        <w:rPr>
          <w:rFonts w:ascii="楷体" w:eastAsia="楷体" w:hAnsi="楷体" w:hint="eastAsia"/>
          <w:sz w:val="24"/>
          <w:szCs w:val="24"/>
        </w:rPr>
        <w:t>学生</w:t>
      </w:r>
      <w:r w:rsidRPr="001678C1">
        <w:rPr>
          <w:rFonts w:ascii="楷体" w:eastAsia="楷体" w:hAnsi="楷体"/>
          <w:sz w:val="24"/>
          <w:szCs w:val="24"/>
        </w:rPr>
        <w:t>代表测评；D 表用于</w:t>
      </w:r>
      <w:r w:rsidR="003D2ED8">
        <w:rPr>
          <w:rFonts w:ascii="楷体" w:eastAsia="楷体" w:hAnsi="楷体" w:hint="eastAsia"/>
          <w:sz w:val="24"/>
          <w:szCs w:val="24"/>
        </w:rPr>
        <w:t>部门负责人</w:t>
      </w:r>
      <w:r w:rsidRPr="001678C1">
        <w:rPr>
          <w:rFonts w:ascii="楷体" w:eastAsia="楷体" w:hAnsi="楷体"/>
          <w:sz w:val="24"/>
          <w:szCs w:val="24"/>
        </w:rPr>
        <w:t>本部门</w:t>
      </w:r>
      <w:r w:rsidR="003D2ED8">
        <w:rPr>
          <w:rFonts w:ascii="楷体" w:eastAsia="楷体" w:hAnsi="楷体" w:hint="eastAsia"/>
          <w:sz w:val="24"/>
          <w:szCs w:val="24"/>
        </w:rPr>
        <w:t>干事</w:t>
      </w:r>
      <w:r w:rsidRPr="001678C1">
        <w:rPr>
          <w:rFonts w:ascii="楷体" w:eastAsia="楷体" w:hAnsi="楷体"/>
          <w:sz w:val="24"/>
          <w:szCs w:val="24"/>
        </w:rPr>
        <w:t>测评。</w:t>
      </w:r>
    </w:p>
    <w:p w:rsidR="00B5070A" w:rsidRPr="00B5070A" w:rsidRDefault="00BF746E" w:rsidP="00B5070A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1678C1">
        <w:rPr>
          <w:rFonts w:ascii="楷体" w:eastAsia="楷体" w:hAnsi="楷体"/>
          <w:sz w:val="24"/>
          <w:szCs w:val="24"/>
        </w:rPr>
        <w:t>2、请在相应测评结果栏中打“√ ”。</w:t>
      </w:r>
    </w:p>
    <w:p w:rsidR="00BF746E" w:rsidRPr="003D2ED8" w:rsidRDefault="00BF746E" w:rsidP="00BF746E">
      <w:pPr>
        <w:rPr>
          <w:rFonts w:asciiTheme="majorEastAsia" w:eastAsiaTheme="majorEastAsia" w:hAnsiTheme="majorEastAsia"/>
          <w:sz w:val="32"/>
          <w:szCs w:val="32"/>
        </w:rPr>
      </w:pPr>
      <w:r w:rsidRPr="003D2ED8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 3</w:t>
      </w:r>
    </w:p>
    <w:p w:rsidR="00BF746E" w:rsidRPr="003D2ED8" w:rsidRDefault="003D2ED8" w:rsidP="003D2ED8">
      <w:pPr>
        <w:ind w:firstLineChars="49" w:firstLine="157"/>
        <w:rPr>
          <w:rFonts w:asciiTheme="minorEastAsia" w:hAnsiTheme="minorEastAsia"/>
          <w:b/>
          <w:sz w:val="32"/>
          <w:szCs w:val="32"/>
        </w:rPr>
      </w:pPr>
      <w:r w:rsidRPr="003D2ED8">
        <w:rPr>
          <w:rFonts w:asciiTheme="minorEastAsia" w:hAnsiTheme="minorEastAsia" w:hint="eastAsia"/>
          <w:b/>
          <w:sz w:val="32"/>
          <w:szCs w:val="32"/>
        </w:rPr>
        <w:t>安徽冶金科技职业学院学生会部门负责人考评测评汇总表</w:t>
      </w:r>
    </w:p>
    <w:tbl>
      <w:tblPr>
        <w:tblStyle w:val="a5"/>
        <w:tblpPr w:leftFromText="180" w:rightFromText="180" w:vertAnchor="text" w:tblpXSpec="center" w:tblpY="1"/>
        <w:tblOverlap w:val="never"/>
        <w:tblW w:w="8270" w:type="dxa"/>
        <w:tblLook w:val="04A0"/>
      </w:tblPr>
      <w:tblGrid>
        <w:gridCol w:w="553"/>
        <w:gridCol w:w="1116"/>
        <w:gridCol w:w="1255"/>
        <w:gridCol w:w="1395"/>
        <w:gridCol w:w="1394"/>
        <w:gridCol w:w="1953"/>
        <w:gridCol w:w="604"/>
      </w:tblGrid>
      <w:tr w:rsidR="00BF746E" w:rsidRPr="001C4700" w:rsidTr="003A7B75">
        <w:trPr>
          <w:trHeight w:val="480"/>
        </w:trPr>
        <w:tc>
          <w:tcPr>
            <w:tcW w:w="553" w:type="dxa"/>
            <w:vMerge w:val="restart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116" w:type="dxa"/>
            <w:vMerge w:val="restart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255" w:type="dxa"/>
            <w:vMerge w:val="restart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5346" w:type="dxa"/>
            <w:gridSpan w:val="4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测评结果</w:t>
            </w:r>
          </w:p>
        </w:tc>
      </w:tr>
      <w:tr w:rsidR="00BF746E" w:rsidRPr="001C4700" w:rsidTr="003A7B75">
        <w:trPr>
          <w:trHeight w:val="1079"/>
        </w:trPr>
        <w:tc>
          <w:tcPr>
            <w:tcW w:w="553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上级测评</w:t>
            </w: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同级测评</w:t>
            </w:r>
          </w:p>
        </w:tc>
        <w:tc>
          <w:tcPr>
            <w:tcW w:w="1953" w:type="dxa"/>
            <w:vAlign w:val="center"/>
          </w:tcPr>
          <w:p w:rsidR="00BF746E" w:rsidRPr="001C4700" w:rsidRDefault="00E25A9A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学生代表和部门干事</w:t>
            </w:r>
            <w:r w:rsidR="00BF746E" w:rsidRPr="001C4700">
              <w:rPr>
                <w:rFonts w:ascii="楷体" w:eastAsia="楷体" w:hAnsi="楷体" w:hint="eastAsia"/>
                <w:sz w:val="28"/>
                <w:szCs w:val="28"/>
              </w:rPr>
              <w:t>测评</w:t>
            </w:r>
          </w:p>
        </w:tc>
        <w:tc>
          <w:tcPr>
            <w:tcW w:w="602" w:type="dxa"/>
            <w:vMerge w:val="restart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合计</w:t>
            </w:r>
          </w:p>
        </w:tc>
      </w:tr>
      <w:tr w:rsidR="00BF746E" w:rsidRPr="001C4700" w:rsidTr="003A7B75">
        <w:trPr>
          <w:trHeight w:val="495"/>
        </w:trPr>
        <w:tc>
          <w:tcPr>
            <w:tcW w:w="553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1C4700">
              <w:rPr>
                <w:rFonts w:ascii="楷体" w:eastAsia="楷体" w:hAnsi="楷体"/>
                <w:sz w:val="28"/>
                <w:szCs w:val="28"/>
              </w:rPr>
              <w:t>0</w:t>
            </w:r>
            <w:r w:rsidRPr="001C4700">
              <w:rPr>
                <w:rFonts w:ascii="楷体" w:eastAsia="楷体" w:hAnsi="楷体" w:hint="eastAsia"/>
                <w:sz w:val="28"/>
                <w:szCs w:val="28"/>
              </w:rPr>
              <w:t>%</w:t>
            </w: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Pr="001C4700">
              <w:rPr>
                <w:rFonts w:ascii="楷体" w:eastAsia="楷体" w:hAnsi="楷体"/>
                <w:sz w:val="28"/>
                <w:szCs w:val="28"/>
              </w:rPr>
              <w:t>0</w:t>
            </w:r>
            <w:r w:rsidRPr="001C4700">
              <w:rPr>
                <w:rFonts w:ascii="楷体" w:eastAsia="楷体" w:hAnsi="楷体" w:hint="eastAsia"/>
                <w:sz w:val="28"/>
                <w:szCs w:val="28"/>
              </w:rPr>
              <w:t>%</w:t>
            </w: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C4700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1C4700">
              <w:rPr>
                <w:rFonts w:ascii="楷体" w:eastAsia="楷体" w:hAnsi="楷体"/>
                <w:sz w:val="28"/>
                <w:szCs w:val="28"/>
              </w:rPr>
              <w:t>0</w:t>
            </w:r>
            <w:r w:rsidRPr="001C4700">
              <w:rPr>
                <w:rFonts w:ascii="楷体" w:eastAsia="楷体" w:hAnsi="楷体" w:hint="eastAsia"/>
                <w:sz w:val="28"/>
                <w:szCs w:val="28"/>
              </w:rPr>
              <w:t>%</w:t>
            </w:r>
          </w:p>
        </w:tc>
        <w:tc>
          <w:tcPr>
            <w:tcW w:w="602" w:type="dxa"/>
            <w:vMerge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63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F746E" w:rsidRPr="001C4700" w:rsidTr="003A7B75">
        <w:trPr>
          <w:trHeight w:val="480"/>
        </w:trPr>
        <w:tc>
          <w:tcPr>
            <w:tcW w:w="5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F746E" w:rsidRPr="001C4700" w:rsidRDefault="00BF746E" w:rsidP="003A7B7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BF746E" w:rsidRPr="00BF746E" w:rsidRDefault="003D2ED8" w:rsidP="00BF746E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安徽冶金科技职业学院  团委  </w:t>
      </w:r>
      <w:r w:rsidR="00BF746E" w:rsidRPr="001C4700">
        <w:rPr>
          <w:rFonts w:ascii="楷体" w:eastAsia="楷体" w:hAnsi="楷体"/>
          <w:sz w:val="28"/>
          <w:szCs w:val="28"/>
        </w:rPr>
        <w:t xml:space="preserve"> 2020 年 5 月 21 日印发</w:t>
      </w:r>
    </w:p>
    <w:sectPr w:rsidR="00BF746E" w:rsidRPr="00BF746E" w:rsidSect="0058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6B" w:rsidRDefault="001C586B" w:rsidP="00FE50C8">
      <w:r>
        <w:separator/>
      </w:r>
    </w:p>
  </w:endnote>
  <w:endnote w:type="continuationSeparator" w:id="1">
    <w:p w:rsidR="001C586B" w:rsidRDefault="001C586B" w:rsidP="00FE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6B" w:rsidRDefault="001C586B" w:rsidP="00FE50C8">
      <w:r>
        <w:separator/>
      </w:r>
    </w:p>
  </w:footnote>
  <w:footnote w:type="continuationSeparator" w:id="1">
    <w:p w:rsidR="001C586B" w:rsidRDefault="001C586B" w:rsidP="00FE5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27E"/>
    <w:multiLevelType w:val="hybridMultilevel"/>
    <w:tmpl w:val="D848C320"/>
    <w:lvl w:ilvl="0" w:tplc="1250D57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0C8"/>
    <w:rsid w:val="000F3342"/>
    <w:rsid w:val="0014201A"/>
    <w:rsid w:val="001C586B"/>
    <w:rsid w:val="001E13BF"/>
    <w:rsid w:val="002023AD"/>
    <w:rsid w:val="0028678B"/>
    <w:rsid w:val="002A4A2F"/>
    <w:rsid w:val="003D2ED8"/>
    <w:rsid w:val="00461199"/>
    <w:rsid w:val="004F105B"/>
    <w:rsid w:val="005859B9"/>
    <w:rsid w:val="00874FD0"/>
    <w:rsid w:val="008B26FF"/>
    <w:rsid w:val="008D57A2"/>
    <w:rsid w:val="00927A51"/>
    <w:rsid w:val="00B5070A"/>
    <w:rsid w:val="00BF746E"/>
    <w:rsid w:val="00C23BB0"/>
    <w:rsid w:val="00E25A9A"/>
    <w:rsid w:val="00EF29CD"/>
    <w:rsid w:val="00F85E94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0C8"/>
    <w:rPr>
      <w:sz w:val="18"/>
      <w:szCs w:val="18"/>
    </w:rPr>
  </w:style>
  <w:style w:type="table" w:styleId="a5">
    <w:name w:val="Table Grid"/>
    <w:basedOn w:val="a1"/>
    <w:uiPriority w:val="39"/>
    <w:rsid w:val="00BF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2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412</Words>
  <Characters>2354</Characters>
  <Application>Microsoft Office Word</Application>
  <DocSecurity>0</DocSecurity>
  <Lines>19</Lines>
  <Paragraphs>5</Paragraphs>
  <ScaleCrop>false</ScaleCrop>
  <Company>微软中国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2020-11-18T13:36:00Z</cp:lastPrinted>
  <dcterms:created xsi:type="dcterms:W3CDTF">2020-11-17T12:26:00Z</dcterms:created>
  <dcterms:modified xsi:type="dcterms:W3CDTF">2020-11-18T13:36:00Z</dcterms:modified>
</cp:coreProperties>
</file>